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11FB" w:rsidRDefault="00D27461">
      <w:pPr>
        <w:spacing w:line="580" w:lineRule="exact"/>
        <w:jc w:val="center"/>
        <w:rPr>
          <w:rFonts w:ascii="方正小标宋简体" w:eastAsia="方正小标宋简体"/>
          <w:bCs/>
          <w:sz w:val="44"/>
          <w:szCs w:val="44"/>
        </w:rPr>
      </w:pPr>
      <w:r>
        <w:rPr>
          <w:rFonts w:ascii="方正小标宋简体" w:eastAsia="方正小标宋简体" w:hint="eastAsia"/>
          <w:bCs/>
          <w:sz w:val="44"/>
          <w:szCs w:val="44"/>
        </w:rPr>
        <w:t>吉首大学</w:t>
      </w:r>
    </w:p>
    <w:p w:rsidR="007811FB" w:rsidRDefault="00D27461">
      <w:pPr>
        <w:spacing w:line="580" w:lineRule="exact"/>
        <w:jc w:val="center"/>
        <w:rPr>
          <w:rFonts w:ascii="仿宋_GB2312" w:eastAsia="仿宋_GB2312"/>
          <w:sz w:val="32"/>
          <w:szCs w:val="32"/>
        </w:rPr>
      </w:pPr>
      <w:r>
        <w:rPr>
          <w:rFonts w:ascii="方正小标宋简体" w:eastAsia="方正小标宋简体" w:hint="eastAsia"/>
          <w:bCs/>
          <w:sz w:val="44"/>
          <w:szCs w:val="44"/>
        </w:rPr>
        <w:t>2021-2022年学位授权点专项评估工作方案</w:t>
      </w:r>
    </w:p>
    <w:p w:rsidR="007811FB" w:rsidRDefault="007811FB">
      <w:pPr>
        <w:spacing w:line="580" w:lineRule="exact"/>
        <w:ind w:firstLineChars="200" w:firstLine="640"/>
        <w:rPr>
          <w:rFonts w:ascii="仿宋_GB2312" w:eastAsia="仿宋_GB2312"/>
          <w:sz w:val="32"/>
          <w:szCs w:val="32"/>
        </w:rPr>
      </w:pP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根据国务院学位委员会、教育部关于开展学位授权点专项评估工作的有关文件精神和要求，为提高我校研究生培养质量，合理调整学科、学位点布局，迎接2022年国务院学位委员会对我校学位点专项评估现场抽评，特制定本方案。</w:t>
      </w:r>
    </w:p>
    <w:p w:rsidR="007811FB" w:rsidRDefault="00D27461" w:rsidP="008A129B">
      <w:pPr>
        <w:spacing w:line="600" w:lineRule="exact"/>
        <w:ind w:firstLineChars="200" w:firstLine="640"/>
        <w:rPr>
          <w:rFonts w:ascii="黑体" w:eastAsia="黑体" w:hAnsi="黑体"/>
          <w:sz w:val="32"/>
          <w:szCs w:val="32"/>
        </w:rPr>
      </w:pPr>
      <w:r>
        <w:rPr>
          <w:rFonts w:ascii="黑体" w:eastAsia="黑体" w:hAnsi="黑体" w:hint="eastAsia"/>
          <w:sz w:val="32"/>
          <w:szCs w:val="32"/>
        </w:rPr>
        <w:t>一、评估对象</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2018年获得授权的学位授权点。</w:t>
      </w:r>
    </w:p>
    <w:p w:rsidR="007811FB" w:rsidRDefault="00D27461" w:rsidP="008A129B">
      <w:pPr>
        <w:spacing w:line="600" w:lineRule="exact"/>
        <w:ind w:firstLineChars="200" w:firstLine="640"/>
        <w:rPr>
          <w:rFonts w:ascii="黑体" w:eastAsia="黑体" w:hAnsi="黑体"/>
          <w:sz w:val="32"/>
          <w:szCs w:val="32"/>
        </w:rPr>
      </w:pPr>
      <w:r>
        <w:rPr>
          <w:rFonts w:ascii="黑体" w:eastAsia="黑体" w:hAnsi="黑体" w:hint="eastAsia"/>
          <w:sz w:val="32"/>
          <w:szCs w:val="32"/>
        </w:rPr>
        <w:t>二、组织机构</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1.学校成立评估领导小组。由学位评定委员会主席担任组长，副主席及分管研究生院校领导担任副组长，成员由研究生院、发展规划与学科建设处、社科处、科技处、人事处、财务处和各受评学位点依托单位主要负责人、各学位点主要负责人组成。评估领导小组下设办公室，办公室设在研究生院，研究生院院长任办公室主任。</w:t>
      </w:r>
    </w:p>
    <w:p w:rsidR="007811FB" w:rsidRDefault="00D27461" w:rsidP="008A129B">
      <w:pPr>
        <w:spacing w:line="600" w:lineRule="exact"/>
        <w:ind w:firstLineChars="200" w:firstLine="640"/>
        <w:jc w:val="left"/>
        <w:rPr>
          <w:rFonts w:ascii="仿宋_GB2312" w:eastAsia="仿宋_GB2312"/>
          <w:sz w:val="32"/>
          <w:szCs w:val="32"/>
        </w:rPr>
      </w:pPr>
      <w:r>
        <w:rPr>
          <w:rFonts w:ascii="仿宋_GB2312" w:eastAsia="仿宋_GB2312" w:hint="eastAsia"/>
          <w:sz w:val="32"/>
          <w:szCs w:val="32"/>
        </w:rPr>
        <w:t>评估领导小组职责：（1）制定学校评估方案；（2）督促各受评学位点按照国家</w:t>
      </w:r>
      <w:r>
        <w:rPr>
          <w:rFonts w:ascii="仿宋_GB2312" w:eastAsia="仿宋_GB2312"/>
          <w:sz w:val="32"/>
          <w:szCs w:val="32"/>
        </w:rPr>
        <w:t>专项评估工作方案组织评估材料</w:t>
      </w:r>
      <w:r>
        <w:rPr>
          <w:rFonts w:ascii="仿宋_GB2312" w:eastAsia="仿宋_GB2312" w:hint="eastAsia"/>
          <w:sz w:val="32"/>
          <w:szCs w:val="32"/>
        </w:rPr>
        <w:t>；（3）督促完成《学位授权点自评报告》及相关数据表；（4）各类信息的搜集和传达；（5）汇总和上报评估结果；（6）统筹协调，落实上级抽查相关工作。具体工作由领导小组办公室负责组织和实施。</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2.受评单位成立专项评估工作小组。由各学位点依托单位主要负责人担任组长，成员由各单位分管研究生教育的负责人、学位点主要负责人、研究生秘书和导师组成。</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专项评估工作小组职责：（1）制定学位点专项评估细则；（2）负责学位点基础材料收集及基础数据统计、分析；（3）聘请评估专家；（4）负责撰写《学位授权点自评报告》；（5）负责现场评议材料准备及答疑；（6）根据专家意见组织整改。</w:t>
      </w:r>
    </w:p>
    <w:p w:rsidR="007811FB" w:rsidRDefault="00D27461" w:rsidP="008A129B">
      <w:pPr>
        <w:spacing w:line="600" w:lineRule="exact"/>
        <w:ind w:firstLineChars="200" w:firstLine="640"/>
        <w:rPr>
          <w:rFonts w:ascii="黑体" w:eastAsia="黑体" w:hAnsi="黑体"/>
          <w:sz w:val="32"/>
          <w:szCs w:val="32"/>
        </w:rPr>
      </w:pPr>
      <w:r>
        <w:rPr>
          <w:rFonts w:ascii="黑体" w:eastAsia="黑体" w:hAnsi="黑体" w:hint="eastAsia"/>
          <w:sz w:val="32"/>
          <w:szCs w:val="32"/>
        </w:rPr>
        <w:t>三、组织形式</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各学位授权点按照国家学位授权点专项评估指标体系以及学位授权点审核申请基本条件进行自我评估。</w:t>
      </w:r>
    </w:p>
    <w:p w:rsidR="007811FB" w:rsidRDefault="00D27461" w:rsidP="008A129B">
      <w:pPr>
        <w:spacing w:line="600" w:lineRule="exact"/>
        <w:ind w:firstLineChars="200" w:firstLine="640"/>
        <w:rPr>
          <w:rFonts w:ascii="黑体" w:eastAsia="黑体" w:hAnsi="黑体"/>
          <w:sz w:val="32"/>
          <w:szCs w:val="32"/>
        </w:rPr>
      </w:pPr>
      <w:r>
        <w:rPr>
          <w:rFonts w:ascii="黑体" w:eastAsia="黑体" w:hAnsi="黑体" w:hint="eastAsia"/>
          <w:sz w:val="32"/>
          <w:szCs w:val="32"/>
        </w:rPr>
        <w:t>四、评估内容</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专项评估是对学位授权点水平和人才培养质量的全面检查，主要是检查参评点研究生培养体系和内部质量保证体系的完备性，以及研究生培养全过程管理执行情况，包括师资队伍（队伍结构、导师水平、师德师风）、人才培养（招生选拔、培养方案、课程教学、学术训练或实践教学、学位授予）和质量保证（制度建设、过程管理、学风建设）等方面，真实、准确考察学位授权点人才培养的规范性、完备性和建设成效。</w:t>
      </w:r>
    </w:p>
    <w:p w:rsidR="007811FB" w:rsidRDefault="00D27461" w:rsidP="008A129B">
      <w:pPr>
        <w:spacing w:line="600" w:lineRule="exact"/>
        <w:ind w:firstLineChars="200" w:firstLine="640"/>
        <w:rPr>
          <w:rFonts w:ascii="黑体" w:eastAsia="黑体" w:hAnsi="黑体"/>
          <w:sz w:val="32"/>
          <w:szCs w:val="32"/>
        </w:rPr>
      </w:pPr>
      <w:r>
        <w:rPr>
          <w:rFonts w:ascii="黑体" w:eastAsia="黑体" w:hAnsi="黑体" w:hint="eastAsia"/>
          <w:sz w:val="32"/>
          <w:szCs w:val="32"/>
        </w:rPr>
        <w:t>五、评估方式</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我校学位授权点专项评估主要采用国内同行专家评估的方式，具体如下：</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1.专家聘请。各单位从学科评议组、专业学位教指委和省级学位委员会中抽选5-7名专家组成评议专家组（以下统称专家组），可根据评估范围内学位授权点学科或专业学位类别具体情况，增加同行专家参与评估。专业学位授权点评估专家应包括行业专家。评议实行本单位专家回避制。</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2.专家沟通。各单位应事先与评估专家（外单位本学科领域高水平研究生导师，不少于5位）进行充分沟通，向专家说明本单位的办学目标、人才培养质量标准、评估目的、评估方式和工作要求。</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3.材料组织。各单位根据最终确定的评估安排和要求，组织自我评估材料。评估材料应提前报送专家，报送专家数不少于5位，根据专家意见，补充完善自评材料。</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4.专家评估。评估专家通过听取总体汇报、与师生和管理人员座谈、查阅有关资料等方式，全面了解和掌握学位授权点基本情况。专家组经过充分讨论，提出诊断式评议意见。专家评议意见应具有较强的针对性，从学位授权点建设的各个方面，指出其存在的问题与不足，并提出改进建议。</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5.改进提升。各受评学位点依托单位根据评估过程中发现的问题和不足，结合评估专家意见，制定各学位点改进提升方案。</w:t>
      </w:r>
    </w:p>
    <w:p w:rsidR="007811FB" w:rsidRDefault="00D27461" w:rsidP="008A129B">
      <w:pPr>
        <w:spacing w:line="600" w:lineRule="exact"/>
        <w:ind w:firstLineChars="200" w:firstLine="640"/>
        <w:rPr>
          <w:rFonts w:ascii="黑体" w:eastAsia="黑体" w:hAnsi="黑体"/>
          <w:sz w:val="32"/>
          <w:szCs w:val="32"/>
        </w:rPr>
      </w:pPr>
      <w:r>
        <w:rPr>
          <w:rFonts w:ascii="黑体" w:eastAsia="黑体" w:hAnsi="黑体" w:hint="eastAsia"/>
          <w:sz w:val="32"/>
          <w:szCs w:val="32"/>
        </w:rPr>
        <w:t>六、评估结果</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专家评议结果分为三种：三分之二以上专家认为合格的，为</w:t>
      </w:r>
      <w:r>
        <w:rPr>
          <w:rFonts w:ascii="仿宋_GB2312" w:eastAsia="仿宋_GB2312" w:hint="eastAsia"/>
          <w:sz w:val="32"/>
          <w:szCs w:val="32"/>
        </w:rPr>
        <w:lastRenderedPageBreak/>
        <w:t>合格；二分之一以上、三分之二以下专家认为合格的视为基本合格；少于二分之一专家认为合格的视为不合格。学校如实上报评估结果，结合学校学科和学位点建设发展规划，对基本合格和不合格的学位点进行动态调整或撤销。动态调整或撤销授权的学位授权点，5年内不得申请学位授权，其在学研究生可按原渠道培养并按有关要求授予学位。</w:t>
      </w:r>
    </w:p>
    <w:p w:rsidR="007811FB" w:rsidRDefault="00D27461" w:rsidP="008A129B">
      <w:pPr>
        <w:spacing w:line="600" w:lineRule="exact"/>
        <w:ind w:firstLineChars="200" w:firstLine="640"/>
        <w:rPr>
          <w:rFonts w:ascii="黑体" w:eastAsia="黑体" w:hAnsi="黑体"/>
          <w:sz w:val="32"/>
          <w:szCs w:val="32"/>
        </w:rPr>
      </w:pPr>
      <w:r>
        <w:rPr>
          <w:rFonts w:ascii="黑体" w:eastAsia="黑体" w:hAnsi="黑体" w:hint="eastAsia"/>
          <w:sz w:val="32"/>
          <w:szCs w:val="32"/>
        </w:rPr>
        <w:t>七、评估工作部署及时间安排</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按照国务院学位委员会和教育部文件要求，专项评估分为学位授予单位自我评估和教育行政部门抽评两个阶段，以学位授予单位自我评估为主。2021年-2022年为自我评估阶段。所有学位点自我评估必须在2022年3月30日前完成。据此，我校评估分为5个阶段：</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第一阶段（2021年9月-2021年10月</w:t>
      </w:r>
      <w:r w:rsidR="00F02562">
        <w:rPr>
          <w:rFonts w:ascii="仿宋_GB2312" w:eastAsia="仿宋_GB2312" w:hint="eastAsia"/>
          <w:sz w:val="32"/>
          <w:szCs w:val="32"/>
        </w:rPr>
        <w:t>中旬</w:t>
      </w:r>
      <w:r>
        <w:rPr>
          <w:rFonts w:ascii="仿宋_GB2312" w:eastAsia="仿宋_GB2312" w:hint="eastAsia"/>
          <w:sz w:val="32"/>
          <w:szCs w:val="32"/>
        </w:rPr>
        <w:t>）：宣传、发动并制定评估方案。2021年9月，制定学校专项评估方案并组织相关学位点负责人、学科带头人学习相关文件，制定学位授权点专项评估细则。学校评估领导小组对专项评估方案及评估细则进行审核。</w:t>
      </w:r>
    </w:p>
    <w:p w:rsidR="007811FB" w:rsidRDefault="00D27461" w:rsidP="008A129B">
      <w:pPr>
        <w:spacing w:line="600" w:lineRule="exact"/>
        <w:ind w:firstLineChars="200" w:firstLine="640"/>
        <w:rPr>
          <w:rFonts w:ascii="仿宋_GB2312" w:eastAsia="仿宋_GB2312"/>
          <w:strike/>
          <w:sz w:val="32"/>
          <w:szCs w:val="32"/>
        </w:rPr>
      </w:pPr>
      <w:r>
        <w:rPr>
          <w:rFonts w:ascii="仿宋_GB2312" w:eastAsia="仿宋_GB2312" w:hint="eastAsia"/>
          <w:sz w:val="32"/>
          <w:szCs w:val="32"/>
        </w:rPr>
        <w:t>第二阶段（2021年10月</w:t>
      </w:r>
      <w:r w:rsidR="00F02562">
        <w:rPr>
          <w:rFonts w:ascii="仿宋_GB2312" w:eastAsia="仿宋_GB2312" w:hint="eastAsia"/>
          <w:sz w:val="32"/>
          <w:szCs w:val="32"/>
        </w:rPr>
        <w:t>下旬</w:t>
      </w:r>
      <w:r>
        <w:rPr>
          <w:rFonts w:ascii="仿宋_GB2312" w:eastAsia="仿宋_GB2312" w:hint="eastAsia"/>
          <w:sz w:val="32"/>
          <w:szCs w:val="32"/>
        </w:rPr>
        <w:t>-2021年11月）：初评阶段。参评学位点根据评估细则进行初评，形成初评结论。</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第三阶段（2021年12月-2022年1月）：整改提升阶段。根据初评结论，对存在的问题进行整改。</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lastRenderedPageBreak/>
        <w:t>第四阶段（2022年2月-2022年3月）：自我评估阶段。2022年2月，根据整改后的情况，撰写自评报告，统计基本数据，准备支撑材料。2022年3月，聘请专家进行评审，并征求专家整改建议，进一步完善自评报告及基础材料。</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第五阶段（2022年4月起）：汇总上报。学校评估领导小组办公室汇总评估结果，报学校评估领导小组审核，按照国家专项评估工作要求上报材料。</w:t>
      </w:r>
    </w:p>
    <w:p w:rsidR="007811FB" w:rsidRDefault="00D27461" w:rsidP="008A129B">
      <w:pPr>
        <w:spacing w:line="600" w:lineRule="exact"/>
        <w:ind w:firstLineChars="200" w:firstLine="640"/>
        <w:rPr>
          <w:rFonts w:ascii="黑体" w:eastAsia="黑体" w:hAnsi="黑体"/>
          <w:sz w:val="32"/>
          <w:szCs w:val="32"/>
        </w:rPr>
      </w:pPr>
      <w:r>
        <w:rPr>
          <w:rFonts w:ascii="黑体" w:eastAsia="黑体" w:hAnsi="黑体" w:hint="eastAsia"/>
          <w:sz w:val="32"/>
          <w:szCs w:val="32"/>
        </w:rPr>
        <w:t>八、评估经费</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研究生院根据评估工作需要，做出经费预算，按年度划拨至参评单位。</w:t>
      </w:r>
    </w:p>
    <w:p w:rsidR="007811FB" w:rsidRDefault="00D27461" w:rsidP="008A129B">
      <w:pPr>
        <w:spacing w:line="600" w:lineRule="exact"/>
        <w:ind w:firstLineChars="200" w:firstLine="640"/>
        <w:rPr>
          <w:rFonts w:ascii="黑体" w:eastAsia="黑体" w:hAnsi="黑体"/>
          <w:bCs/>
          <w:sz w:val="32"/>
          <w:szCs w:val="32"/>
        </w:rPr>
      </w:pPr>
      <w:r>
        <w:rPr>
          <w:rFonts w:ascii="黑体" w:eastAsia="黑体" w:hAnsi="黑体" w:hint="eastAsia"/>
          <w:bCs/>
          <w:sz w:val="32"/>
          <w:szCs w:val="32"/>
        </w:rPr>
        <w:t>九、其他</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1.合理安排评估进程。自我评估要根据学校实际情况，统筹考虑评估工作安排，不断总结经验。改进做法，确保评估工作有序进行。</w:t>
      </w:r>
    </w:p>
    <w:p w:rsidR="007811FB"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2.确保评估取得实效。学校加强对评估过程的管理，明确评估是手段、提升质量是目的，重在发现问题、解决问题，提升研究生培养质量和学位点建设水平，避免评估走过场、形式化，确保专项评估达到预期效果。</w:t>
      </w:r>
    </w:p>
    <w:p w:rsidR="007811FB" w:rsidRPr="00BF7F86" w:rsidRDefault="00D27461" w:rsidP="008A129B">
      <w:pPr>
        <w:spacing w:line="600" w:lineRule="exact"/>
        <w:ind w:firstLineChars="200" w:firstLine="640"/>
        <w:rPr>
          <w:rFonts w:ascii="仿宋_GB2312" w:eastAsia="仿宋_GB2312"/>
          <w:sz w:val="32"/>
          <w:szCs w:val="32"/>
        </w:rPr>
      </w:pPr>
      <w:r>
        <w:rPr>
          <w:rFonts w:ascii="仿宋_GB2312" w:eastAsia="仿宋_GB2312" w:hint="eastAsia"/>
          <w:sz w:val="32"/>
          <w:szCs w:val="32"/>
        </w:rPr>
        <w:t>3.严格遵守评估纪律。排除非学术因素的干扰，保证自我评估公平公正。对违反评估纪律和材料作假的单位和人员进行严肃处理。</w:t>
      </w:r>
      <w:bookmarkStart w:id="0" w:name="_GoBack"/>
      <w:bookmarkEnd w:id="0"/>
    </w:p>
    <w:sectPr w:rsidR="007811FB" w:rsidRPr="00BF7F86" w:rsidSect="00756010">
      <w:footerReference w:type="default" r:id="rId7"/>
      <w:pgSz w:w="11906" w:h="16838"/>
      <w:pgMar w:top="2098" w:right="1474" w:bottom="1985" w:left="1588" w:header="851" w:footer="992"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C5097" w:rsidRDefault="002C5097">
      <w:r>
        <w:separator/>
      </w:r>
    </w:p>
  </w:endnote>
  <w:endnote w:type="continuationSeparator" w:id="1">
    <w:p w:rsidR="002C5097" w:rsidRDefault="002C509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altName w:val="Arial Unicode MS"/>
    <w:charset w:val="86"/>
    <w:family w:val="auto"/>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黑体">
    <w:altName w:val="Arial Unicode MS"/>
    <w:panose1 w:val="02010600030101010101"/>
    <w:charset w:val="86"/>
    <w:family w:val="modern"/>
    <w:notTrueType/>
    <w:pitch w:val="fixed"/>
    <w:sig w:usb0="00000000" w:usb1="080E0000" w:usb2="00000010" w:usb3="00000000" w:csb0="00040000" w:csb1="00000000"/>
  </w:font>
  <w:font w:name="Calibri Light">
    <w:altName w:val="Times New Roman"/>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811FB" w:rsidRDefault="00756010">
    <w:pPr>
      <w:pStyle w:val="a5"/>
      <w:jc w:val="right"/>
    </w:pPr>
    <w:r>
      <w:rPr>
        <w:noProof/>
      </w:rPr>
      <w:pict>
        <v:shapetype id="_x0000_t202" coordsize="21600,21600" o:spt="202" path="m,l,21600r21600,l21600,xe">
          <v:stroke joinstyle="miter"/>
          <v:path gradientshapeok="t" o:connecttype="rect"/>
        </v:shapetype>
        <v:shape id="文本框 2" o:spid="_x0000_s2049" type="#_x0000_t202" style="position:absolute;left:0;text-align:left;margin-left:196.8pt;margin-top:0;width:2in;height:2in;z-index:251658240;visibility:visible;mso-wrap-style:none;mso-position-horizontal:right;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" filled="f" stroked="f" strokeweight=".5pt">
          <v:textbox style="mso-fit-shape-to-text:t" inset="0,0,0,0">
            <w:txbxContent>
              <w:p w:rsidR="007811FB" w:rsidRDefault="00756010">
                <w:pPr>
                  <w:pStyle w:val="a5"/>
                  <w:jc w:val="right"/>
                </w:pPr>
                <w:r>
                  <w:fldChar w:fldCharType="begin"/>
                </w:r>
                <w:r w:rsidR="00D27461">
                  <w:instrText>PAGE   \* MERGEFORMAT</w:instrText>
                </w:r>
                <w:r>
                  <w:fldChar w:fldCharType="separate"/>
                </w:r>
                <w:r w:rsidR="008A129B" w:rsidRPr="008A129B">
                  <w:rPr>
                    <w:noProof/>
                    <w:lang w:val="zh-CN"/>
                  </w:rPr>
                  <w:t>5</w:t>
                </w:r>
                <w:r>
                  <w:fldChar w:fldCharType="end"/>
                </w:r>
              </w:p>
            </w:txbxContent>
          </v:textbox>
          <w10:wrap anchorx="margin"/>
        </v:shape>
      </w:pict>
    </w:r>
  </w:p>
  <w:p w:rsidR="007811FB" w:rsidRDefault="007811FB">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C5097" w:rsidRDefault="002C5097">
      <w:r>
        <w:separator/>
      </w:r>
    </w:p>
  </w:footnote>
  <w:footnote w:type="continuationSeparator" w:id="1">
    <w:p w:rsidR="002C5097" w:rsidRDefault="002C509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9B48C3"/>
    <w:rsid w:val="00065EE2"/>
    <w:rsid w:val="00071EF3"/>
    <w:rsid w:val="00103E6F"/>
    <w:rsid w:val="001261EA"/>
    <w:rsid w:val="001332DD"/>
    <w:rsid w:val="001C1FCD"/>
    <w:rsid w:val="001C4EC7"/>
    <w:rsid w:val="00225A80"/>
    <w:rsid w:val="00250D11"/>
    <w:rsid w:val="002C5097"/>
    <w:rsid w:val="00302EA6"/>
    <w:rsid w:val="00331779"/>
    <w:rsid w:val="00397AA3"/>
    <w:rsid w:val="005C3803"/>
    <w:rsid w:val="005E3FF4"/>
    <w:rsid w:val="00663138"/>
    <w:rsid w:val="00704280"/>
    <w:rsid w:val="00756010"/>
    <w:rsid w:val="007811FB"/>
    <w:rsid w:val="008657DA"/>
    <w:rsid w:val="008A129B"/>
    <w:rsid w:val="009B48C3"/>
    <w:rsid w:val="009E1BA5"/>
    <w:rsid w:val="009F1857"/>
    <w:rsid w:val="00AD3872"/>
    <w:rsid w:val="00AE3B1E"/>
    <w:rsid w:val="00B56E45"/>
    <w:rsid w:val="00BF36D3"/>
    <w:rsid w:val="00BF7F86"/>
    <w:rsid w:val="00CD0430"/>
    <w:rsid w:val="00D27461"/>
    <w:rsid w:val="00E123C2"/>
    <w:rsid w:val="00ED2825"/>
    <w:rsid w:val="00F02562"/>
    <w:rsid w:val="00F7518E"/>
    <w:rsid w:val="216106EA"/>
    <w:rsid w:val="2A7A13A2"/>
    <w:rsid w:val="35155921"/>
    <w:rsid w:val="39BA1D4A"/>
    <w:rsid w:val="3B971549"/>
    <w:rsid w:val="3E0B4200"/>
    <w:rsid w:val="41A87954"/>
    <w:rsid w:val="5A82425C"/>
    <w:rsid w:val="60950195"/>
    <w:rsid w:val="63F92ADA"/>
    <w:rsid w:val="68AA1AC5"/>
    <w:rsid w:val="7A5B3BE4"/>
    <w:rsid w:val="7C3A7E5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Table Web 2"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5601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rsid w:val="00756010"/>
    <w:pPr>
      <w:ind w:leftChars="2500" w:left="100"/>
    </w:pPr>
  </w:style>
  <w:style w:type="paragraph" w:styleId="a4">
    <w:name w:val="Balloon Text"/>
    <w:basedOn w:val="a"/>
    <w:link w:val="Char0"/>
    <w:uiPriority w:val="99"/>
    <w:semiHidden/>
    <w:unhideWhenUsed/>
    <w:rsid w:val="00756010"/>
    <w:rPr>
      <w:sz w:val="18"/>
      <w:szCs w:val="18"/>
    </w:rPr>
  </w:style>
  <w:style w:type="paragraph" w:styleId="a5">
    <w:name w:val="footer"/>
    <w:basedOn w:val="a"/>
    <w:link w:val="Char1"/>
    <w:uiPriority w:val="99"/>
    <w:qFormat/>
    <w:rsid w:val="00756010"/>
    <w:pPr>
      <w:tabs>
        <w:tab w:val="center" w:pos="4153"/>
        <w:tab w:val="right" w:pos="8306"/>
      </w:tabs>
      <w:snapToGrid w:val="0"/>
      <w:jc w:val="left"/>
    </w:pPr>
    <w:rPr>
      <w:rFonts w:ascii="Calibri" w:hAnsi="Calibri"/>
      <w:bCs/>
      <w:sz w:val="18"/>
      <w:szCs w:val="18"/>
    </w:rPr>
  </w:style>
  <w:style w:type="paragraph" w:styleId="a6">
    <w:name w:val="header"/>
    <w:basedOn w:val="a"/>
    <w:link w:val="Char2"/>
    <w:uiPriority w:val="99"/>
    <w:unhideWhenUsed/>
    <w:qFormat/>
    <w:rsid w:val="00756010"/>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sid w:val="00756010"/>
    <w:rPr>
      <w:rFonts w:ascii="Calibri" w:hAnsi="Calibri"/>
      <w:bCs/>
    </w:rPr>
  </w:style>
  <w:style w:type="paragraph" w:styleId="2">
    <w:name w:val="toc 2"/>
    <w:basedOn w:val="a"/>
    <w:next w:val="a"/>
    <w:uiPriority w:val="39"/>
    <w:unhideWhenUsed/>
    <w:qFormat/>
    <w:rsid w:val="00756010"/>
    <w:pPr>
      <w:ind w:leftChars="200" w:left="420"/>
    </w:pPr>
    <w:rPr>
      <w:rFonts w:ascii="Calibri" w:hAnsi="Calibri"/>
      <w:bCs/>
    </w:rPr>
  </w:style>
  <w:style w:type="character" w:styleId="a7">
    <w:name w:val="Strong"/>
    <w:qFormat/>
    <w:rsid w:val="00756010"/>
    <w:rPr>
      <w:rFonts w:ascii="Calibri" w:eastAsia="宋体" w:hAnsi="Calibri" w:cs="Times New Roman"/>
      <w:b/>
      <w:bCs/>
    </w:rPr>
  </w:style>
  <w:style w:type="character" w:customStyle="1" w:styleId="Char1">
    <w:name w:val="页脚 Char"/>
    <w:link w:val="a5"/>
    <w:uiPriority w:val="99"/>
    <w:rsid w:val="00756010"/>
    <w:rPr>
      <w:rFonts w:ascii="Calibri" w:eastAsia="宋体" w:hAnsi="Calibri" w:cs="Times New Roman"/>
      <w:bCs/>
      <w:sz w:val="18"/>
      <w:szCs w:val="18"/>
    </w:rPr>
  </w:style>
  <w:style w:type="character" w:customStyle="1" w:styleId="Char0">
    <w:name w:val="批注框文本 Char"/>
    <w:link w:val="a4"/>
    <w:uiPriority w:val="99"/>
    <w:semiHidden/>
    <w:qFormat/>
    <w:rsid w:val="00756010"/>
    <w:rPr>
      <w:rFonts w:ascii="Calibri" w:eastAsia="宋体" w:hAnsi="Calibri" w:cs="Times New Roman"/>
      <w:sz w:val="18"/>
      <w:szCs w:val="18"/>
    </w:rPr>
  </w:style>
  <w:style w:type="character" w:customStyle="1" w:styleId="Char">
    <w:name w:val="日期 Char"/>
    <w:link w:val="a3"/>
    <w:uiPriority w:val="99"/>
    <w:semiHidden/>
    <w:qFormat/>
    <w:rsid w:val="00756010"/>
    <w:rPr>
      <w:rFonts w:ascii="Calibri" w:eastAsia="宋体" w:hAnsi="Calibri" w:cs="Times New Roman"/>
    </w:rPr>
  </w:style>
  <w:style w:type="character" w:customStyle="1" w:styleId="Char2">
    <w:name w:val="页眉 Char"/>
    <w:link w:val="a6"/>
    <w:uiPriority w:val="99"/>
    <w:qFormat/>
    <w:rsid w:val="00756010"/>
    <w:rPr>
      <w:rFonts w:ascii="Calibri" w:eastAsia="宋体" w:hAnsi="Calibri"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semiHidden="0" w:uiPriority="39" w:qFormat="1"/>
    <w:lsdException w:name="toc 2" w:semiHidden="0" w:uiPriority="39" w:qFormat="1"/>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nhideWhenUsed="0"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qFormat="1"/>
    <w:lsdException w:name="Strong" w:semiHidden="0" w:uiPriority="0" w:unhideWhenUsed="0" w:qFormat="1"/>
    <w:lsdException w:name="Emphasis" w:semiHidden="0" w:uiPriority="20" w:unhideWhenUsed="0" w:qFormat="1"/>
    <w:lsdException w:name="Table Web 2" w:semiHidden="0" w:unhideWhenUsed="0"/>
    <w:lsdException w:name="Table Grid" w:semiHidden="0" w:uiPriority="39" w:unhideWhenUsed="0"/>
    <w:lsdException w:name="Table Theme"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Char"/>
    <w:uiPriority w:val="99"/>
    <w:semiHidden/>
    <w:unhideWhenUsed/>
    <w:qFormat/>
    <w:pPr>
      <w:ind w:leftChars="2500" w:left="100"/>
    </w:pPr>
  </w:style>
  <w:style w:type="paragraph" w:styleId="a4">
    <w:name w:val="Balloon Text"/>
    <w:basedOn w:val="a"/>
    <w:link w:val="Char0"/>
    <w:uiPriority w:val="99"/>
    <w:semiHidden/>
    <w:unhideWhenUsed/>
    <w:rPr>
      <w:sz w:val="18"/>
      <w:szCs w:val="18"/>
    </w:rPr>
  </w:style>
  <w:style w:type="paragraph" w:styleId="a5">
    <w:name w:val="footer"/>
    <w:basedOn w:val="a"/>
    <w:link w:val="Char1"/>
    <w:uiPriority w:val="99"/>
    <w:qFormat/>
    <w:pPr>
      <w:tabs>
        <w:tab w:val="center" w:pos="4153"/>
        <w:tab w:val="right" w:pos="8306"/>
      </w:tabs>
      <w:snapToGrid w:val="0"/>
      <w:jc w:val="left"/>
    </w:pPr>
    <w:rPr>
      <w:rFonts w:ascii="Calibri" w:hAnsi="Calibri"/>
      <w:bCs/>
      <w:sz w:val="18"/>
      <w:szCs w:val="18"/>
    </w:rPr>
  </w:style>
  <w:style w:type="paragraph" w:styleId="a6">
    <w:name w:val="header"/>
    <w:basedOn w:val="a"/>
    <w:link w:val="Char2"/>
    <w:uiPriority w:val="99"/>
    <w:unhideWhenUsed/>
    <w:qFormat/>
    <w:pPr>
      <w:pBdr>
        <w:bottom w:val="single" w:sz="6" w:space="1" w:color="auto"/>
      </w:pBdr>
      <w:tabs>
        <w:tab w:val="center" w:pos="4153"/>
        <w:tab w:val="right" w:pos="8306"/>
      </w:tabs>
      <w:snapToGrid w:val="0"/>
      <w:jc w:val="center"/>
    </w:pPr>
    <w:rPr>
      <w:sz w:val="18"/>
      <w:szCs w:val="18"/>
    </w:rPr>
  </w:style>
  <w:style w:type="paragraph" w:styleId="1">
    <w:name w:val="toc 1"/>
    <w:basedOn w:val="a"/>
    <w:next w:val="a"/>
    <w:uiPriority w:val="39"/>
    <w:unhideWhenUsed/>
    <w:qFormat/>
    <w:rPr>
      <w:rFonts w:ascii="Calibri" w:hAnsi="Calibri"/>
      <w:bCs/>
    </w:rPr>
  </w:style>
  <w:style w:type="paragraph" w:styleId="2">
    <w:name w:val="toc 2"/>
    <w:basedOn w:val="a"/>
    <w:next w:val="a"/>
    <w:uiPriority w:val="39"/>
    <w:unhideWhenUsed/>
    <w:qFormat/>
    <w:pPr>
      <w:ind w:leftChars="200" w:left="420"/>
    </w:pPr>
    <w:rPr>
      <w:rFonts w:ascii="Calibri" w:hAnsi="Calibri"/>
      <w:bCs/>
    </w:rPr>
  </w:style>
  <w:style w:type="character" w:styleId="a7">
    <w:name w:val="Strong"/>
    <w:qFormat/>
    <w:rPr>
      <w:rFonts w:ascii="Calibri" w:eastAsia="宋体" w:hAnsi="Calibri" w:cs="Times New Roman"/>
      <w:b/>
      <w:bCs/>
    </w:rPr>
  </w:style>
  <w:style w:type="character" w:customStyle="1" w:styleId="Char1">
    <w:name w:val="页脚 Char"/>
    <w:link w:val="a5"/>
    <w:uiPriority w:val="99"/>
    <w:rPr>
      <w:rFonts w:ascii="Calibri" w:eastAsia="宋体" w:hAnsi="Calibri" w:cs="Times New Roman"/>
      <w:bCs/>
      <w:sz w:val="18"/>
      <w:szCs w:val="18"/>
    </w:rPr>
  </w:style>
  <w:style w:type="character" w:customStyle="1" w:styleId="Char0">
    <w:name w:val="批注框文本 Char"/>
    <w:link w:val="a4"/>
    <w:uiPriority w:val="99"/>
    <w:semiHidden/>
    <w:qFormat/>
    <w:rPr>
      <w:rFonts w:ascii="Calibri" w:eastAsia="宋体" w:hAnsi="Calibri" w:cs="Times New Roman"/>
      <w:sz w:val="18"/>
      <w:szCs w:val="18"/>
    </w:rPr>
  </w:style>
  <w:style w:type="character" w:customStyle="1" w:styleId="Char">
    <w:name w:val="日期 Char"/>
    <w:link w:val="a3"/>
    <w:uiPriority w:val="99"/>
    <w:semiHidden/>
    <w:qFormat/>
    <w:rPr>
      <w:rFonts w:ascii="Calibri" w:eastAsia="宋体" w:hAnsi="Calibri" w:cs="Times New Roman"/>
    </w:rPr>
  </w:style>
  <w:style w:type="character" w:customStyle="1" w:styleId="Char2">
    <w:name w:val="页眉 Char"/>
    <w:link w:val="a6"/>
    <w:uiPriority w:val="99"/>
    <w:qFormat/>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5</Pages>
  <Words>356</Words>
  <Characters>2031</Characters>
  <Application>Microsoft Office Word</Application>
  <DocSecurity>0</DocSecurity>
  <Lines>16</Lines>
  <Paragraphs>4</Paragraphs>
  <ScaleCrop>false</ScaleCrop>
  <Company/>
  <LinksUpToDate>false</LinksUpToDate>
  <CharactersWithSpaces>2383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wulala</dc:creator>
  <cp:lastModifiedBy>杨亚红</cp:lastModifiedBy>
  <cp:revision>17</cp:revision>
  <dcterms:created xsi:type="dcterms:W3CDTF">2021-09-11T08:27:00Z</dcterms:created>
  <dcterms:modified xsi:type="dcterms:W3CDTF">2021-09-23T09:55:00Z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2052-11.1.0.10132</vt:lpwstr>
  </property>
  <property fmtid="{D5CDD505-2E9C-101B-9397-08002B2CF9AE}" pid="3" name="ICV">
    <vt:lpwstr>11779A18221C4A2EB80429ED0D8BA246</vt:lpwstr>
  </property>
</Properties>
</file>